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70"/>
        <w:tblGridChange w:id="0">
          <w:tblGrid>
            <w:gridCol w:w="11070"/>
          </w:tblGrid>
        </w:tblGridChange>
      </w:tblGrid>
      <w:tr>
        <w:tc>
          <w:tcPr>
            <w:shd w:fill="3291d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290.0" w:type="dxa"/>
              <w:jc w:val="left"/>
              <w:tblInd w:w="345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290"/>
              <w:tblGridChange w:id="0">
                <w:tblGrid>
                  <w:gridCol w:w="10290"/>
                </w:tblGrid>
              </w:tblGridChange>
            </w:tblGrid>
            <w:tr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venir" w:cs="Avenir" w:eastAsia="Avenir" w:hAnsi="Avenir"/>
                      <w:b w:val="1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venir" w:cs="Avenir" w:eastAsia="Avenir" w:hAnsi="Avenir"/>
                      <w:b w:val="1"/>
                      <w:sz w:val="36"/>
                      <w:szCs w:val="36"/>
                      <w:rtl w:val="0"/>
                    </w:rPr>
                    <w:t xml:space="preserve">Home Learning </w:t>
                  </w:r>
                  <w:r w:rsidDel="00000000" w:rsidR="00000000" w:rsidRPr="00000000">
                    <w:drawing>
                      <wp:anchor allowOverlap="1" behindDoc="0" distB="114300" distT="114300" distL="114300" distR="114300" hidden="0" layoutInCell="1" locked="0" relativeHeight="0" simplePos="0">
                        <wp:simplePos x="0" y="0"/>
                        <wp:positionH relativeFrom="column">
                          <wp:posOffset>257175</wp:posOffset>
                        </wp:positionH>
                        <wp:positionV relativeFrom="paragraph">
                          <wp:posOffset>104776</wp:posOffset>
                        </wp:positionV>
                        <wp:extent cx="2303462" cy="618522"/>
                        <wp:effectExtent b="0" l="0" r="0" t="0"/>
                        <wp:wrapSquare wrapText="bothSides" distB="114300" distT="114300" distL="114300" distR="114300"/>
                        <wp:docPr id="1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6"/>
                                <a:srcRect b="3747" l="0" r="0" t="37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3462" cy="61852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0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venir" w:cs="Avenir" w:eastAsia="Avenir" w:hAnsi="Avenir"/>
                      <w:b w:val="1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venir" w:cs="Avenir" w:eastAsia="Avenir" w:hAnsi="Avenir"/>
                      <w:b w:val="1"/>
                      <w:sz w:val="36"/>
                      <w:szCs w:val="36"/>
                      <w:rtl w:val="0"/>
                    </w:rPr>
                    <w:t xml:space="preserve">with Digital Options:</w:t>
                  </w:r>
                </w:p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venir" w:cs="Avenir" w:eastAsia="Avenir" w:hAnsi="Avenir"/>
                    </w:rPr>
                  </w:pPr>
                  <w:r w:rsidDel="00000000" w:rsidR="00000000" w:rsidRPr="00000000">
                    <w:rPr>
                      <w:rFonts w:ascii="Avenir" w:cs="Avenir" w:eastAsia="Avenir" w:hAnsi="Avenir"/>
                      <w:b w:val="1"/>
                      <w:sz w:val="36"/>
                      <w:szCs w:val="36"/>
                      <w:rtl w:val="0"/>
                    </w:rPr>
                    <w:t xml:space="preserve">Grades 3-5 </w:t>
                  </w:r>
                  <w:r w:rsidDel="00000000" w:rsidR="00000000" w:rsidRPr="00000000">
                    <w:rPr>
                      <w:rFonts w:ascii="Avenir" w:cs="Avenir" w:eastAsia="Avenir" w:hAnsi="Avenir"/>
                      <w:sz w:val="36"/>
                      <w:szCs w:val="36"/>
                      <w:rtl w:val="0"/>
                    </w:rPr>
                    <w:t xml:space="preserve">  </w:t>
                  </w:r>
                  <w:r w:rsidDel="00000000" w:rsidR="00000000" w:rsidRPr="00000000">
                    <w:rPr>
                      <w:rFonts w:ascii="Avenir" w:cs="Avenir" w:eastAsia="Avenir" w:hAnsi="Avenir"/>
                      <w:rtl w:val="0"/>
                    </w:rPr>
                    <w:t xml:space="preserve">                               </w:t>
                  </w:r>
                </w:p>
              </w:tc>
            </w:tr>
          </w:tbl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105" w:lineRule="auto"/>
              <w:ind w:left="8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Listed below you will find options for students to </w:t>
            </w: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review and practice previously learned content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outside of school.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55.0" w:type="dxa"/>
        <w:jc w:val="left"/>
        <w:tblInd w:w="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435"/>
        <w:gridCol w:w="7620"/>
        <w:tblGridChange w:id="0">
          <w:tblGrid>
            <w:gridCol w:w="3435"/>
            <w:gridCol w:w="7620"/>
          </w:tblGrid>
        </w:tblGridChange>
      </w:tblGrid>
      <w:tr>
        <w:trPr>
          <w:trHeight w:val="535" w:hRule="atLeast"/>
        </w:trPr>
        <w:tc>
          <w:tcPr>
            <w:shd w:fill="8cb369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80" w:right="1600" w:firstLine="0"/>
              <w:jc w:val="center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>
            <w:shd w:fill="8cb369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0" w:right="0" w:firstLine="0"/>
              <w:jc w:val="center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Menu of Learning Opportunities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5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ELA-Reading</w:t>
            </w:r>
          </w:p>
        </w:tc>
        <w:tc>
          <w:tcPr/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after="0" w:afterAutospacing="0" w:before="17" w:line="256" w:lineRule="auto"/>
              <w:ind w:left="720" w:right="228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Read for 20-30 minutes.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after="0" w:afterAutospacing="0" w:before="0" w:beforeAutospacing="0" w:line="256" w:lineRule="auto"/>
              <w:ind w:left="720" w:right="228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Retell what was read to another person.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after="0" w:afterAutospacing="0" w:before="0" w:beforeAutospacing="0" w:line="256" w:lineRule="auto"/>
              <w:ind w:left="720" w:right="228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a summary of what was read.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after="0" w:afterAutospacing="0" w:before="0" w:beforeAutospacing="0" w:line="256" w:lineRule="auto"/>
              <w:ind w:left="720" w:right="228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20 minutes of student reading: </w:t>
            </w:r>
            <w:hyperlink r:id="rId7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choral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with another person, or individually read.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after="0" w:afterAutospacing="0" w:before="0" w:beforeAutospacing="0" w:line="256" w:lineRule="auto"/>
              <w:ind w:left="720" w:right="228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Read a difficult text aloud with an adult or sibling using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dyad reading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.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Discuss what was read with another person and consider using 2-5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question prompts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after="0" w:afterAutospacing="0" w:before="0" w:beforeAutospacing="0" w:line="256" w:lineRule="auto"/>
              <w:ind w:left="720" w:right="228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20-30 minutes of Digital learning using Lexia, Imagine Learning, or iReady.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before="0" w:beforeAutospacing="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Access </w:t>
            </w:r>
            <w:hyperlink r:id="rId10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Pearson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to review text, listen to text, view videos and play games.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ELA-Writing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4"/>
                <w:tab w:val="left" w:pos="815"/>
              </w:tabs>
              <w:spacing w:after="0" w:afterAutospacing="0" w:before="106" w:line="240" w:lineRule="auto"/>
              <w:ind w:left="720" w:right="0" w:hanging="36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Write a summary of what was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read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Consider using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a </w:t>
            </w:r>
            <w:hyperlink r:id="rId11">
              <w:r w:rsidDel="00000000" w:rsidR="00000000" w:rsidRPr="00000000">
                <w:rPr>
                  <w:rFonts w:ascii="Avenir" w:cs="Avenir" w:eastAsia="Avenir" w:hAnsi="Avenir"/>
                  <w:i w:val="0"/>
                  <w:smallCaps w:val="0"/>
                  <w:strike w:val="0"/>
                  <w:color w:val="1155cc"/>
                  <w:u w:val="single"/>
                  <w:shd w:fill="auto" w:val="clear"/>
                  <w:vertAlign w:val="baseline"/>
                  <w:rtl w:val="0"/>
                </w:rPr>
                <w:t xml:space="preserve">four-square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graphic organizer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to build ideas before writing.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5"/>
              </w:tabs>
              <w:spacing w:after="0" w:afterAutospacing="0" w:before="0" w:beforeAutospacing="0" w:line="256" w:lineRule="auto"/>
              <w:ind w:left="720" w:right="118" w:hanging="360"/>
              <w:jc w:val="both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Respond to a </w:t>
            </w:r>
            <w:hyperlink r:id="rId12">
              <w:r w:rsidDel="00000000" w:rsidR="00000000" w:rsidRPr="00000000">
                <w:rPr>
                  <w:rFonts w:ascii="Avenir" w:cs="Avenir" w:eastAsia="Avenir" w:hAnsi="Avenir"/>
                  <w:i w:val="0"/>
                  <w:smallCaps w:val="0"/>
                  <w:strike w:val="0"/>
                  <w:color w:val="1155cc"/>
                  <w:u w:val="single"/>
                  <w:shd w:fill="auto" w:val="clear"/>
                  <w:vertAlign w:val="baseline"/>
                  <w:rtl w:val="0"/>
                </w:rPr>
                <w:t xml:space="preserve">generic prompt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. 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5"/>
              </w:tabs>
              <w:spacing w:after="0" w:before="0" w:beforeAutospacing="0" w:line="256" w:lineRule="auto"/>
              <w:ind w:left="720" w:right="118" w:hanging="360"/>
              <w:jc w:val="both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Tell, draw or act out a story you have read or created.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Math</w:t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after="0" w:afterAutospacing="0" w:before="106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Practice multiplication and division facts using the linked </w:t>
            </w:r>
            <w:hyperlink r:id="rId13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activities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(also available in printed form, see below)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after="0" w:afterAutospacing="0" w:before="0" w:beforeAutospacing="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Tell a multiplication and division story with objects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before="0" w:beforeAutospacing="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Measure objects in your environment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after="0" w:afterAutospacing="0" w:line="256" w:lineRule="auto"/>
              <w:ind w:left="720" w:right="18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Cook or bake using a recipe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after="0" w:afterAutospacing="0" w:before="0" w:beforeAutospacing="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Access </w:t>
            </w:r>
            <w:hyperlink r:id="rId14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Pearson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to view videos and play games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before="0" w:beforeAutospacing="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20 -30 minutes a day for Digital Learning using; ST Math, iReady, Dreambox or Reflex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95" w:hRule="atLeast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Science/Social Studies</w:t>
            </w:r>
          </w:p>
        </w:tc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line="256" w:lineRule="auto"/>
              <w:ind w:left="815" w:right="18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Cook or bake using a recipe with an adult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line="256" w:lineRule="auto"/>
              <w:ind w:left="815" w:right="18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Read science or social studies books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line="256" w:lineRule="auto"/>
              <w:ind w:left="815" w:right="18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Talk, draw, write about natural things in our world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line="256" w:lineRule="auto"/>
              <w:ind w:left="815" w:right="18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Build a structure with items around you.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line="256" w:lineRule="auto"/>
              <w:ind w:left="815" w:right="166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Read from the </w:t>
            </w:r>
            <w:hyperlink r:id="rId15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Open Educational Resource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textbook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line="256" w:lineRule="auto"/>
              <w:ind w:left="815" w:right="166" w:hanging="360"/>
              <w:rPr>
                <w:rFonts w:ascii="Avenir" w:cs="Avenir" w:eastAsia="Avenir" w:hAnsi="Avenir"/>
              </w:rPr>
            </w:pPr>
            <w:hyperlink r:id="rId16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National Geographic for kids, videos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line="256" w:lineRule="auto"/>
              <w:ind w:left="815" w:right="166" w:hanging="360"/>
            </w:pPr>
            <w:hyperlink r:id="rId17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Digital Science Online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videos/activities (login: </w:t>
            </w: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online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password: </w:t>
            </w: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school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line="256" w:lineRule="auto"/>
              <w:ind w:left="815" w:right="166" w:hanging="360"/>
              <w:rPr>
                <w:rFonts w:ascii="Avenir" w:cs="Avenir" w:eastAsia="Avenir" w:hAnsi="Avenir"/>
              </w:rPr>
            </w:pPr>
            <w:hyperlink r:id="rId18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Newsela article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with writing or quiz on science/social studies topic work with another person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4"/>
                <w:tab w:val="left" w:pos="815"/>
              </w:tabs>
              <w:spacing w:after="0" w:before="0" w:line="256" w:lineRule="auto"/>
              <w:ind w:right="18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br w:type="textWrapping"/>
            </w:r>
          </w:p>
        </w:tc>
      </w:tr>
      <w:tr>
        <w:trPr>
          <w:trHeight w:val="2095" w:hRule="atLeast"/>
        </w:trPr>
        <w:tc>
          <w:tcPr/>
          <w:p w:rsidR="00000000" w:rsidDel="00000000" w:rsidP="00000000" w:rsidRDefault="00000000" w:rsidRPr="00000000" w14:paraId="00000028">
            <w:pPr>
              <w:spacing w:before="11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 Special Education (Resource, </w:t>
            </w:r>
          </w:p>
          <w:p w:rsidR="00000000" w:rsidDel="00000000" w:rsidP="00000000" w:rsidRDefault="00000000" w:rsidRPr="00000000" w14:paraId="00000029">
            <w:pPr>
              <w:spacing w:before="11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   ABS/ACC) and/or English</w:t>
            </w:r>
          </w:p>
          <w:p w:rsidR="00000000" w:rsidDel="00000000" w:rsidP="00000000" w:rsidRDefault="00000000" w:rsidRPr="00000000" w14:paraId="0000002A">
            <w:pPr>
              <w:spacing w:before="11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   Language Learners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814"/>
                <w:tab w:val="left" w:pos="815"/>
              </w:tabs>
              <w:spacing w:before="106" w:lineRule="auto"/>
              <w:ind w:left="9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Consider</w:t>
            </w:r>
            <w:hyperlink r:id="rId19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scaffolds, accomodations, and/or modifications needed for specific student groups (i.e. special education, English language learners, etc.) including but not limited to: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</w:numPr>
              <w:tabs>
                <w:tab w:val="left" w:pos="814"/>
                <w:tab w:val="left" w:pos="815"/>
              </w:tabs>
              <w:spacing w:after="0" w:afterAutospacing="0" w:before="106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references for prior knowledge to provide foundation for review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</w:numPr>
              <w:tabs>
                <w:tab w:val="left" w:pos="814"/>
                <w:tab w:val="left" w:pos="815"/>
              </w:tabs>
              <w:spacing w:after="0" w:afterAutospacing="0" w:before="0" w:beforeAutospacing="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sentence starters and frames for writing activities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</w:numPr>
              <w:tabs>
                <w:tab w:val="left" w:pos="814"/>
                <w:tab w:val="left" w:pos="815"/>
              </w:tabs>
              <w:spacing w:after="0" w:afterAutospacing="0" w:before="0" w:beforeAutospacing="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graphic organizers that support students visualize relationships between facts, concepts and ideas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</w:numPr>
              <w:tabs>
                <w:tab w:val="left" w:pos="814"/>
                <w:tab w:val="left" w:pos="815"/>
              </w:tabs>
              <w:spacing w:after="0" w:afterAutospacing="0" w:before="0" w:beforeAutospacing="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visuals to support language and comprehension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</w:numPr>
              <w:tabs>
                <w:tab w:val="left" w:pos="814"/>
                <w:tab w:val="left" w:pos="815"/>
              </w:tabs>
              <w:spacing w:before="0" w:beforeAutospacing="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gridSpan w:val="2"/>
            <w:shd w:fill="f8ae42" w:val="clear"/>
          </w:tcPr>
          <w:p w:rsidR="00000000" w:rsidDel="00000000" w:rsidP="00000000" w:rsidRDefault="00000000" w:rsidRPr="00000000" w14:paraId="00000031">
            <w:pPr>
              <w:spacing w:before="200" w:line="276" w:lineRule="auto"/>
              <w:jc w:val="center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Links and Log In Guidelines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ind w:firstLine="27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firstLine="27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Utah Education Network: </w:t>
            </w:r>
          </w:p>
          <w:p w:rsidR="00000000" w:rsidDel="00000000" w:rsidP="00000000" w:rsidRDefault="00000000" w:rsidRPr="00000000" w14:paraId="00000035">
            <w:pPr>
              <w:ind w:firstLine="270"/>
              <w:rPr>
                <w:rFonts w:ascii="Avenir" w:cs="Avenir" w:eastAsia="Avenir" w:hAnsi="Avenir"/>
              </w:rPr>
            </w:pPr>
            <w:hyperlink r:id="rId20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Learn at Home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firstLine="270"/>
              <w:rPr>
                <w:rFonts w:ascii="Avenir" w:cs="Avenir" w:eastAsia="Avenir" w:hAnsi="Avenir"/>
              </w:rPr>
            </w:pPr>
            <w:hyperlink r:id="rId21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Utah’s </w:t>
              </w:r>
            </w:hyperlink>
            <w:hyperlink r:id="rId22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Online Library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firstLine="27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260" w:firstLine="10"/>
              <w:rPr>
                <w:rFonts w:ascii="Avenir" w:cs="Avenir" w:eastAsia="Avenir" w:hAnsi="Avenir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highlight w:val="white"/>
                <w:rtl w:val="0"/>
              </w:rPr>
              <w:t xml:space="preserve">Utah's Online Library is a collection of electronic resources. It provides statewide access to newspaper articles, magazines, professional journals, encyclopedias, video, photographs, maps, charts, and graphics. </w:t>
            </w:r>
          </w:p>
          <w:p w:rsidR="00000000" w:rsidDel="00000000" w:rsidP="00000000" w:rsidRDefault="00000000" w:rsidRPr="00000000" w14:paraId="00000039">
            <w:pPr>
              <w:ind w:left="260" w:firstLine="10"/>
              <w:rPr>
                <w:rFonts w:ascii="Avenir" w:cs="Avenir" w:eastAsia="Avenir" w:hAnsi="Avenir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260" w:firstLine="10"/>
              <w:rPr>
                <w:rFonts w:ascii="Avenir" w:cs="Avenir" w:eastAsia="Avenir" w:hAnsi="Avenir"/>
                <w:color w:val="4a86e8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Home access:  Go to </w:t>
            </w:r>
            <w:hyperlink r:id="rId23">
              <w:r w:rsidDel="00000000" w:rsidR="00000000" w:rsidRPr="00000000">
                <w:rPr>
                  <w:rFonts w:ascii="Avenir" w:cs="Avenir" w:eastAsia="Avenir" w:hAnsi="Avenir"/>
                  <w:color w:val="4a86e8"/>
                  <w:u w:val="single"/>
                  <w:rtl w:val="0"/>
                </w:rPr>
                <w:t xml:space="preserve">https://onlinelibrary.uen.org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260" w:firstLine="1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Login Name:  online</w:t>
            </w:r>
          </w:p>
          <w:p w:rsidR="00000000" w:rsidDel="00000000" w:rsidP="00000000" w:rsidRDefault="00000000" w:rsidRPr="00000000" w14:paraId="0000003C">
            <w:pPr>
              <w:ind w:left="260" w:firstLine="1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Password:  school</w:t>
            </w:r>
          </w:p>
          <w:p w:rsidR="00000000" w:rsidDel="00000000" w:rsidP="00000000" w:rsidRDefault="00000000" w:rsidRPr="00000000" w14:paraId="0000003D">
            <w:pPr>
              <w:ind w:left="260" w:firstLine="1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260" w:firstLine="10"/>
              <w:rPr>
                <w:rFonts w:ascii="Avenir" w:cs="Avenir" w:eastAsia="Avenir" w:hAnsi="Avenir"/>
              </w:rPr>
            </w:pPr>
            <w:hyperlink r:id="rId24">
              <w:r w:rsidDel="00000000" w:rsidR="00000000" w:rsidRPr="00000000">
                <w:rPr>
                  <w:rFonts w:ascii="Avenir" w:cs="Avenir" w:eastAsia="Avenir" w:hAnsi="Avenir"/>
                  <w:color w:val="4a86e8"/>
                  <w:u w:val="single"/>
                  <w:rtl w:val="0"/>
                </w:rPr>
                <w:t xml:space="preserve">Digital Text Resources</w:t>
              </w:r>
            </w:hyperlink>
            <w:r w:rsidDel="00000000" w:rsidR="00000000" w:rsidRPr="00000000">
              <w:rPr>
                <w:rFonts w:ascii="Avenir" w:cs="Avenir" w:eastAsia="Avenir" w:hAnsi="Avenir"/>
                <w:color w:val="4a86e8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all grades</w:t>
            </w:r>
          </w:p>
          <w:p w:rsidR="00000000" w:rsidDel="00000000" w:rsidP="00000000" w:rsidRDefault="00000000" w:rsidRPr="00000000" w14:paraId="0000003F">
            <w:pPr>
              <w:ind w:left="260" w:firstLine="10"/>
              <w:rPr>
                <w:rFonts w:ascii="Avenir" w:cs="Avenir" w:eastAsia="Avenir" w:hAnsi="Avenir"/>
              </w:rPr>
            </w:pPr>
            <w:hyperlink r:id="rId25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Wellness Resources 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260" w:firstLine="1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Student Resources link</w:t>
            </w:r>
          </w:p>
          <w:p w:rsidR="00000000" w:rsidDel="00000000" w:rsidP="00000000" w:rsidRDefault="00000000" w:rsidRPr="00000000" w14:paraId="00000041">
            <w:pPr>
              <w:ind w:left="260" w:firstLine="1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pos="814"/>
                <w:tab w:val="left" w:pos="815"/>
              </w:tabs>
              <w:spacing w:line="256" w:lineRule="auto"/>
              <w:ind w:left="0" w:right="166" w:firstLine="270"/>
              <w:rPr>
                <w:rFonts w:ascii="Avenir" w:cs="Avenir" w:eastAsia="Avenir" w:hAnsi="Avenir"/>
              </w:rPr>
            </w:pPr>
            <w:hyperlink r:id="rId26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Open Educational Resource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 https://www.uen.org/oer/</w:t>
            </w:r>
          </w:p>
          <w:p w:rsidR="00000000" w:rsidDel="00000000" w:rsidP="00000000" w:rsidRDefault="00000000" w:rsidRPr="00000000" w14:paraId="00000043">
            <w:pPr>
              <w:tabs>
                <w:tab w:val="left" w:pos="814"/>
                <w:tab w:val="left" w:pos="815"/>
              </w:tabs>
              <w:spacing w:line="256" w:lineRule="auto"/>
              <w:ind w:left="0" w:right="166" w:firstLine="270"/>
              <w:rPr>
                <w:rFonts w:ascii="Avenir" w:cs="Avenir" w:eastAsia="Avenir" w:hAnsi="Avenir"/>
              </w:rPr>
            </w:pPr>
            <w:hyperlink r:id="rId27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National Geographic for kids, videos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https://kids.nationalgeographic.com</w:t>
            </w:r>
          </w:p>
          <w:p w:rsidR="00000000" w:rsidDel="00000000" w:rsidP="00000000" w:rsidRDefault="00000000" w:rsidRPr="00000000" w14:paraId="00000044">
            <w:pPr>
              <w:tabs>
                <w:tab w:val="left" w:pos="814"/>
                <w:tab w:val="left" w:pos="815"/>
              </w:tabs>
              <w:spacing w:line="256" w:lineRule="auto"/>
              <w:ind w:left="0" w:right="166" w:firstLine="270"/>
              <w:rPr>
                <w:rFonts w:ascii="Avenir" w:cs="Avenir" w:eastAsia="Avenir" w:hAnsi="Avenir"/>
              </w:rPr>
            </w:pPr>
            <w:hyperlink r:id="rId28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Digital Science Online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</w:t>
            </w:r>
            <w:hyperlink r:id="rId29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https://www.visuallearningsys.com/subscription-login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firstLine="27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User Name: online     Password: school</w:t>
            </w:r>
          </w:p>
          <w:p w:rsidR="00000000" w:rsidDel="00000000" w:rsidP="00000000" w:rsidRDefault="00000000" w:rsidRPr="00000000" w14:paraId="00000046">
            <w:pPr>
              <w:tabs>
                <w:tab w:val="left" w:pos="814"/>
                <w:tab w:val="left" w:pos="815"/>
              </w:tabs>
              <w:spacing w:line="256" w:lineRule="auto"/>
              <w:ind w:left="0" w:right="166" w:firstLine="270"/>
              <w:rPr>
                <w:rFonts w:ascii="Avenir" w:cs="Avenir" w:eastAsia="Avenir" w:hAnsi="Avenir"/>
              </w:rPr>
            </w:pPr>
            <w:hyperlink r:id="rId30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Newsela article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</w:t>
            </w:r>
            <w:hyperlink r:id="rId31">
              <w:r w:rsidDel="00000000" w:rsidR="00000000" w:rsidRPr="00000000">
                <w:rPr>
                  <w:rFonts w:ascii="Avenir" w:cs="Avenir" w:eastAsia="Avenir" w:hAnsi="Avenir"/>
                  <w:rtl w:val="0"/>
                </w:rPr>
                <w:t xml:space="preserve">https://newsela.com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pos="814"/>
                <w:tab w:val="left" w:pos="815"/>
              </w:tabs>
              <w:spacing w:line="256" w:lineRule="auto"/>
              <w:ind w:left="0" w:right="166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26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line="252.00000000000003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52.00000000000003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85.0" w:type="dxa"/>
        <w:jc w:val="left"/>
        <w:tblInd w:w="2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5"/>
        <w:tblGridChange w:id="0">
          <w:tblGrid>
            <w:gridCol w:w="11085"/>
          </w:tblGrid>
        </w:tblGridChange>
      </w:tblGrid>
      <w:tr>
        <w:tc>
          <w:tcPr>
            <w:shd w:fill="db504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Current Classroom Practices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Your student can log into Clever to access most digital platforms that they regularly use.       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Current teacher communication practices will continue during the two week dismissal: (e.g. email, google classroom, Canvas, Remind, DoJo, etc. 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Logging into Clever at home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venir" w:cs="Avenir" w:eastAsia="Avenir" w:hAnsi="Avenir"/>
              </w:rPr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Logging into Pearson at home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tabs>
          <w:tab w:val="left" w:pos="814"/>
          <w:tab w:val="left" w:pos="815"/>
        </w:tabs>
        <w:spacing w:before="17" w:line="256" w:lineRule="auto"/>
        <w:ind w:left="0" w:right="228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280" w:top="630" w:left="500" w:right="400" w:header="360" w:footer="36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●"/>
      <w:lvlJc w:val="left"/>
      <w:pPr>
        <w:ind w:left="815" w:hanging="360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423" w:hanging="360"/>
      </w:pPr>
      <w:rPr/>
    </w:lvl>
    <w:lvl w:ilvl="2">
      <w:start w:val="0"/>
      <w:numFmt w:val="bullet"/>
      <w:lvlText w:val="•"/>
      <w:lvlJc w:val="left"/>
      <w:pPr>
        <w:ind w:left="2026" w:hanging="360"/>
      </w:pPr>
      <w:rPr/>
    </w:lvl>
    <w:lvl w:ilvl="3">
      <w:start w:val="0"/>
      <w:numFmt w:val="bullet"/>
      <w:lvlText w:val="•"/>
      <w:lvlJc w:val="left"/>
      <w:pPr>
        <w:ind w:left="2629" w:hanging="360"/>
      </w:pPr>
      <w:rPr/>
    </w:lvl>
    <w:lvl w:ilvl="4">
      <w:start w:val="0"/>
      <w:numFmt w:val="bullet"/>
      <w:lvlText w:val="•"/>
      <w:lvlJc w:val="left"/>
      <w:pPr>
        <w:ind w:left="3232" w:hanging="360"/>
      </w:pPr>
      <w:rPr/>
    </w:lvl>
    <w:lvl w:ilvl="5">
      <w:start w:val="0"/>
      <w:numFmt w:val="bullet"/>
      <w:lvlText w:val="•"/>
      <w:lvlJc w:val="left"/>
      <w:pPr>
        <w:ind w:left="3835" w:hanging="360"/>
      </w:pPr>
      <w:rPr/>
    </w:lvl>
    <w:lvl w:ilvl="6">
      <w:start w:val="0"/>
      <w:numFmt w:val="bullet"/>
      <w:lvlText w:val="•"/>
      <w:lvlJc w:val="left"/>
      <w:pPr>
        <w:ind w:left="4438" w:hanging="360"/>
      </w:pPr>
      <w:rPr/>
    </w:lvl>
    <w:lvl w:ilvl="7">
      <w:start w:val="0"/>
      <w:numFmt w:val="bullet"/>
      <w:lvlText w:val="•"/>
      <w:lvlJc w:val="left"/>
      <w:pPr>
        <w:ind w:left="5041" w:hanging="360"/>
      </w:pPr>
      <w:rPr/>
    </w:lvl>
    <w:lvl w:ilvl="8">
      <w:start w:val="0"/>
      <w:numFmt w:val="bullet"/>
      <w:lvlText w:val="•"/>
      <w:lvlJc w:val="left"/>
      <w:pPr>
        <w:ind w:left="5644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uen.org/learnathome/students.shtml" TargetMode="External"/><Relationship Id="rId22" Type="http://schemas.openxmlformats.org/officeDocument/2006/relationships/hyperlink" Target="https://utahsonlinelibrary.org" TargetMode="External"/><Relationship Id="rId21" Type="http://schemas.openxmlformats.org/officeDocument/2006/relationships/hyperlink" Target="https://onlinelibrary.uen.org" TargetMode="External"/><Relationship Id="rId24" Type="http://schemas.openxmlformats.org/officeDocument/2006/relationships/hyperlink" Target="https://canyonsdistrict.cld.bz/Elementary-Curriculum-Maps/1st-Grade-Curriculum-Map/244/#zoom=z" TargetMode="External"/><Relationship Id="rId23" Type="http://schemas.openxmlformats.org/officeDocument/2006/relationships/hyperlink" Target="https://onlinelibrary.uen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QV6cXGgG3Di5hUn_65HDY4h6hj5agdEd" TargetMode="External"/><Relationship Id="rId26" Type="http://schemas.openxmlformats.org/officeDocument/2006/relationships/hyperlink" Target="https://www.uen.org/oer/" TargetMode="External"/><Relationship Id="rId25" Type="http://schemas.openxmlformats.org/officeDocument/2006/relationships/hyperlink" Target="https://docs.google.com/document/d/1R4_WFoS0LmASBAOJ7HjE4yBwJERdvTSIiF1gBGepUsc/edit?usp=sharing" TargetMode="External"/><Relationship Id="rId28" Type="http://schemas.openxmlformats.org/officeDocument/2006/relationships/hyperlink" Target="https://www.visuallearningsys.com/subscription/" TargetMode="External"/><Relationship Id="rId27" Type="http://schemas.openxmlformats.org/officeDocument/2006/relationships/hyperlink" Target="https://kids.nationalgeographic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hyperlink" Target="https://www.visuallearningsys.com/subscription-login" TargetMode="External"/><Relationship Id="rId7" Type="http://schemas.openxmlformats.org/officeDocument/2006/relationships/hyperlink" Target="https://canyonsdistrict.cld.bz/Elementary-Curriculum-Maps/5th-grade-Curriculum-Map/213/#zoom=z" TargetMode="External"/><Relationship Id="rId8" Type="http://schemas.openxmlformats.org/officeDocument/2006/relationships/hyperlink" Target="https://drive.google.com/file/d/1C2wueuKgTTOtDpzj8HKxlofYYqNTiDYY/view?usp=sharing" TargetMode="External"/><Relationship Id="rId31" Type="http://schemas.openxmlformats.org/officeDocument/2006/relationships/hyperlink" Target="https://newsela.com" TargetMode="External"/><Relationship Id="rId30" Type="http://schemas.openxmlformats.org/officeDocument/2006/relationships/hyperlink" Target="https://newsela.com" TargetMode="External"/><Relationship Id="rId11" Type="http://schemas.openxmlformats.org/officeDocument/2006/relationships/hyperlink" Target="https://drive.google.com/file/d/1XxSG08Kf0WrPuCljJ96jquoyFANlnC5J/view?usp=sharing" TargetMode="External"/><Relationship Id="rId33" Type="http://schemas.openxmlformats.org/officeDocument/2006/relationships/hyperlink" Target="https://sso.rumba.pk12ls.com/sso/login?profile=realize&amp;k12int=true&amp;service=https%3A%2F%2Fwww.pearsonrealize.com%2Fcommunity%2Fj_spring_cas_security_check" TargetMode="External"/><Relationship Id="rId10" Type="http://schemas.openxmlformats.org/officeDocument/2006/relationships/hyperlink" Target="https://sso.rumba.pk12ls.com/sso/login?profile=realize&amp;k12int=true&amp;service=https%3A%2F%2Fwww.pearsonrealize.com%2Fcommunity%2Fj_spring_cas_security_check" TargetMode="External"/><Relationship Id="rId32" Type="http://schemas.openxmlformats.org/officeDocument/2006/relationships/hyperlink" Target="https://clever.com/in/canyons" TargetMode="External"/><Relationship Id="rId13" Type="http://schemas.openxmlformats.org/officeDocument/2006/relationships/hyperlink" Target="https://drive.google.com/drive/folders/1Bxpxr5rUKZYV1mx_UGxMo0yOJvhD-obJ?usp=sharing" TargetMode="External"/><Relationship Id="rId12" Type="http://schemas.openxmlformats.org/officeDocument/2006/relationships/hyperlink" Target="https://docs.google.com/document/d/1bN3Gu-Fb_6UUitGV4CnQjfSkM1KQI3wE5o2dO5-nfNc/edit?usp=sharing" TargetMode="External"/><Relationship Id="rId15" Type="http://schemas.openxmlformats.org/officeDocument/2006/relationships/hyperlink" Target="https://www.uen.org/oer/" TargetMode="External"/><Relationship Id="rId14" Type="http://schemas.openxmlformats.org/officeDocument/2006/relationships/hyperlink" Target="https://sso.rumba.pk12ls.com/sso/login?profile=realize&amp;k12int=true&amp;service=https%3A%2F%2Fwww.pearsonrealize.com%2Fcommunity%2Fj_spring_cas_security_check" TargetMode="External"/><Relationship Id="rId17" Type="http://schemas.openxmlformats.org/officeDocument/2006/relationships/hyperlink" Target="https://www.visuallearningsys.com/subscription/" TargetMode="External"/><Relationship Id="rId16" Type="http://schemas.openxmlformats.org/officeDocument/2006/relationships/hyperlink" Target="https://kids.nationalgeographic.com" TargetMode="External"/><Relationship Id="rId19" Type="http://schemas.openxmlformats.org/officeDocument/2006/relationships/hyperlink" Target="https://docs.google.com/document/d/18ZebLoLulFX1-UtlxBpeg404IXiHiH1wFnRqzr5VafI/edit?usp=sharing" TargetMode="External"/><Relationship Id="rId18" Type="http://schemas.openxmlformats.org/officeDocument/2006/relationships/hyperlink" Target="https://newse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